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30"/>
          <w:szCs w:val="30"/>
        </w:rPr>
      </w:pPr>
      <w:r w:rsidDel="00000000" w:rsidR="00000000" w:rsidRPr="00000000">
        <w:rPr>
          <w:rtl w:val="0"/>
        </w:rPr>
      </w:r>
    </w:p>
    <w:p w:rsidR="00000000" w:rsidDel="00000000" w:rsidP="00000000" w:rsidRDefault="00000000" w:rsidRPr="00000000" w14:paraId="00000002">
      <w:pPr>
        <w:jc w:val="center"/>
        <w:rPr>
          <w:rFonts w:ascii="Palatino" w:cs="Palatino" w:eastAsia="Palatino" w:hAnsi="Palatino"/>
          <w:sz w:val="30"/>
          <w:szCs w:val="30"/>
        </w:rPr>
      </w:pPr>
      <w:r w:rsidDel="00000000" w:rsidR="00000000" w:rsidRPr="00000000">
        <w:rPr>
          <w:rFonts w:ascii="Palatino" w:cs="Palatino" w:eastAsia="Palatino" w:hAnsi="Palatino"/>
          <w:sz w:val="30"/>
          <w:szCs w:val="30"/>
          <w:rtl w:val="0"/>
        </w:rPr>
        <w:t xml:space="preserve">Lehigh Bioengineering Seminar Series presents:</w:t>
      </w:r>
    </w:p>
    <w:p w:rsidR="00000000" w:rsidDel="00000000" w:rsidP="00000000" w:rsidRDefault="00000000" w:rsidRPr="00000000" w14:paraId="00000003">
      <w:pPr>
        <w:jc w:val="center"/>
        <w:rPr>
          <w:rFonts w:ascii="Palatino" w:cs="Palatino" w:eastAsia="Palatino" w:hAnsi="Palatino"/>
          <w:b w:val="1"/>
          <w:bCs w:val="1"/>
          <w:sz w:val="30"/>
          <w:szCs w:val="30"/>
        </w:rPr>
      </w:pPr>
      <w:r w:rsidDel="00000000" w:rsidR="00000000" w:rsidRPr="00000000">
        <w:rPr>
          <w:rtl w:val="0"/>
        </w:rPr>
      </w:r>
    </w:p>
    <w:p w:rsidR="00000000" w:rsidDel="00000000" w:rsidP="00000000" w:rsidRDefault="00000000" w:rsidRPr="00000000" w14:paraId="00000004">
      <w:pPr>
        <w:jc w:val="center"/>
        <w:rPr>
          <w:rFonts w:ascii="Palatino" w:cs="Palatino" w:eastAsia="Palatino" w:hAnsi="Palatino"/>
          <w:b w:val="1"/>
          <w:bCs w:val="1"/>
          <w:sz w:val="30"/>
          <w:szCs w:val="30"/>
        </w:rPr>
      </w:pPr>
      <w:r w:rsidDel="00000000" w:rsidR="00000000" w:rsidRPr="00000000">
        <w:rPr>
          <w:rFonts w:ascii="Palatino" w:cs="Palatino" w:eastAsia="Palatino" w:hAnsi="Palatino"/>
          <w:b w:val="1"/>
          <w:bCs w:val="1"/>
          <w:sz w:val="30"/>
          <w:szCs w:val="30"/>
          <w:rtl w:val="0"/>
        </w:rPr>
        <w:t xml:space="preserve">Dr. Robert C. Spiro, PhD</w:t>
      </w:r>
    </w:p>
    <w:p w:rsidR="00000000" w:rsidDel="00000000" w:rsidP="00000000" w:rsidRDefault="00000000" w:rsidRPr="00000000" w14:paraId="00000005">
      <w:pPr>
        <w:jc w:val="center"/>
        <w:rPr>
          <w:rFonts w:ascii="Palatino" w:cs="Palatino" w:eastAsia="Palatino" w:hAnsi="Palatino"/>
          <w:b w:val="1"/>
          <w:bCs w:val="1"/>
          <w:sz w:val="30"/>
          <w:szCs w:val="30"/>
        </w:rPr>
      </w:pPr>
      <w:r w:rsidDel="00000000" w:rsidR="00000000" w:rsidRPr="00000000">
        <w:rPr>
          <w:rFonts w:ascii="Palatino" w:cs="Palatino" w:eastAsia="Palatino" w:hAnsi="Palatino"/>
          <w:b w:val="1"/>
          <w:bCs w:val="1"/>
          <w:sz w:val="30"/>
          <w:szCs w:val="30"/>
          <w:rtl w:val="0"/>
        </w:rPr>
        <w:t xml:space="preserve">CEO, Octane Biotherapeutics, Inc./Tissue Engineering Technologies (TETEC)</w:t>
      </w:r>
    </w:p>
    <w:p w:rsidR="00000000" w:rsidDel="00000000" w:rsidP="00000000" w:rsidRDefault="00000000" w:rsidRPr="00000000" w14:paraId="00000006">
      <w:pPr>
        <w:jc w:val="center"/>
        <w:rPr>
          <w:rFonts w:ascii="Palatino" w:cs="Palatino" w:eastAsia="Palatino" w:hAnsi="Palatino"/>
          <w:i w:val="1"/>
          <w:iCs w:val="1"/>
          <w:sz w:val="30"/>
          <w:szCs w:val="30"/>
        </w:rPr>
      </w:pPr>
      <w:r w:rsidDel="00000000" w:rsidR="00000000" w:rsidRPr="00000000">
        <w:rPr>
          <w:rFonts w:ascii="Palatino" w:cs="Palatino" w:eastAsia="Palatino" w:hAnsi="Palatino"/>
          <w:i w:val="1"/>
          <w:iCs w:val="1"/>
          <w:sz w:val="30"/>
          <w:szCs w:val="30"/>
          <w:rtl w:val="0"/>
        </w:rPr>
        <w:t xml:space="preserve">“Cartilage Tissue Engineering: Commercial Scale Challenges”</w:t>
      </w:r>
    </w:p>
    <w:p w:rsidR="00000000" w:rsidDel="00000000" w:rsidP="00000000" w:rsidRDefault="00000000" w:rsidRPr="00000000" w14:paraId="00000007">
      <w:pPr>
        <w:jc w:val="center"/>
        <w:rPr>
          <w:rFonts w:ascii="Palatino" w:cs="Palatino" w:eastAsia="Palatino" w:hAnsi="Palatino"/>
          <w:i w:val="1"/>
          <w:iCs w:val="1"/>
          <w:sz w:val="30"/>
          <w:szCs w:val="30"/>
        </w:rPr>
      </w:pPr>
      <w:r w:rsidDel="00000000" w:rsidR="00000000" w:rsidRPr="00000000">
        <w:rPr>
          <w:rtl w:val="0"/>
        </w:rPr>
      </w:r>
    </w:p>
    <w:p w:rsidR="00000000" w:rsidDel="00000000" w:rsidP="00000000" w:rsidRDefault="00000000" w:rsidRPr="00000000" w14:paraId="00000008">
      <w:pPr>
        <w:jc w:val="center"/>
        <w:rPr>
          <w:rFonts w:ascii="Palatino" w:cs="Palatino" w:eastAsia="Palatino" w:hAnsi="Palatino"/>
          <w:sz w:val="30"/>
          <w:szCs w:val="30"/>
        </w:rPr>
      </w:pPr>
      <w:r w:rsidDel="00000000" w:rsidR="00000000" w:rsidRPr="00000000">
        <w:rPr/>
        <w:drawing>
          <wp:inline distB="114300" distT="114300" distL="114300" distR="114300">
            <wp:extent cx="968653" cy="1006889"/>
            <wp:effectExtent b="0" l="0" r="0" t="0"/>
            <wp:docPr id="1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68653" cy="1006889"/>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jc w:val="center"/>
        <w:rPr>
          <w:rFonts w:ascii="Palatino" w:cs="Palatino" w:eastAsia="Palatino" w:hAnsi="Palatino"/>
          <w:sz w:val="30"/>
          <w:szCs w:val="30"/>
        </w:rPr>
      </w:pPr>
      <w:r w:rsidDel="00000000" w:rsidR="00000000" w:rsidRPr="00000000">
        <w:rPr>
          <w:rtl w:val="0"/>
        </w:rPr>
      </w:r>
    </w:p>
    <w:p w:rsidR="00000000" w:rsidDel="00000000" w:rsidP="00000000" w:rsidRDefault="00000000" w:rsidRPr="00000000" w14:paraId="0000000A">
      <w:pPr>
        <w:jc w:val="center"/>
        <w:rPr>
          <w:rFonts w:ascii="Palatino" w:cs="Palatino" w:eastAsia="Palatino" w:hAnsi="Palatino"/>
          <w:sz w:val="30"/>
          <w:szCs w:val="30"/>
        </w:rPr>
      </w:pPr>
      <w:r w:rsidDel="00000000" w:rsidR="00000000" w:rsidRPr="00000000">
        <w:rPr>
          <w:rFonts w:ascii="Palatino" w:cs="Palatino" w:eastAsia="Palatino" w:hAnsi="Palatino"/>
          <w:sz w:val="30"/>
          <w:szCs w:val="30"/>
          <w:rtl w:val="0"/>
        </w:rPr>
        <w:t xml:space="preserve">Friday, April 17, 2026 </w:t>
      </w:r>
    </w:p>
    <w:p w:rsidR="00000000" w:rsidDel="00000000" w:rsidP="00000000" w:rsidRDefault="00000000" w:rsidRPr="00000000" w14:paraId="0000000B">
      <w:pPr>
        <w:jc w:val="center"/>
        <w:rPr>
          <w:rFonts w:ascii="Palatino" w:cs="Palatino" w:eastAsia="Palatino" w:hAnsi="Palatino"/>
          <w:sz w:val="30"/>
          <w:szCs w:val="30"/>
        </w:rPr>
      </w:pPr>
      <w:r w:rsidDel="00000000" w:rsidR="00000000" w:rsidRPr="00000000">
        <w:rPr>
          <w:rFonts w:ascii="Palatino" w:cs="Palatino" w:eastAsia="Palatino" w:hAnsi="Palatino"/>
          <w:sz w:val="30"/>
          <w:szCs w:val="30"/>
          <w:rtl w:val="0"/>
        </w:rPr>
        <w:t xml:space="preserve">10:45 AM-11:45 AM</w:t>
      </w:r>
    </w:p>
    <w:p w:rsidR="00000000" w:rsidDel="00000000" w:rsidP="00000000" w:rsidRDefault="00000000" w:rsidRPr="00000000" w14:paraId="0000000C">
      <w:pPr>
        <w:jc w:val="center"/>
        <w:rPr>
          <w:rFonts w:ascii="Palatino" w:cs="Palatino" w:eastAsia="Palatino" w:hAnsi="Palatino"/>
          <w:sz w:val="30"/>
          <w:szCs w:val="30"/>
        </w:rPr>
      </w:pPr>
      <w:r w:rsidDel="00000000" w:rsidR="00000000" w:rsidRPr="00000000">
        <w:rPr>
          <w:rFonts w:ascii="Palatino" w:cs="Palatino" w:eastAsia="Palatino" w:hAnsi="Palatino"/>
          <w:sz w:val="30"/>
          <w:szCs w:val="30"/>
          <w:rtl w:val="0"/>
        </w:rPr>
        <w:t xml:space="preserve">HST 101</w:t>
      </w:r>
    </w:p>
    <w:p w:rsidR="00000000" w:rsidDel="00000000" w:rsidP="00000000" w:rsidRDefault="00000000" w:rsidRPr="00000000" w14:paraId="0000000D">
      <w:pPr>
        <w:jc w:val="center"/>
        <w:rPr>
          <w:rFonts w:ascii="Palatino" w:cs="Palatino" w:eastAsia="Palatino" w:hAnsi="Palatino"/>
          <w:sz w:val="30"/>
          <w:szCs w:val="30"/>
        </w:rPr>
      </w:pPr>
      <w:hyperlink r:id="rId8">
        <w:r w:rsidDel="00000000" w:rsidR="00000000" w:rsidRPr="00000000">
          <w:rPr>
            <w:rFonts w:ascii="Palatino" w:cs="Palatino" w:eastAsia="Palatino" w:hAnsi="Palatino"/>
            <w:color w:val="1155cc"/>
            <w:sz w:val="30"/>
            <w:szCs w:val="30"/>
            <w:u w:val="single"/>
            <w:rtl w:val="0"/>
          </w:rPr>
          <w:t xml:space="preserve">https://lehigh.zoom.us/j/92166366163</w:t>
        </w:r>
      </w:hyperlink>
      <w:r w:rsidDel="00000000" w:rsidR="00000000" w:rsidRPr="00000000">
        <w:rPr>
          <w:rtl w:val="0"/>
        </w:rPr>
      </w:r>
    </w:p>
    <w:p w:rsidR="00000000" w:rsidDel="00000000" w:rsidP="00000000" w:rsidRDefault="00000000" w:rsidRPr="00000000" w14:paraId="0000000E">
      <w:pPr>
        <w:rPr>
          <w:rFonts w:ascii="Palatino" w:cs="Palatino" w:eastAsia="Palatino" w:hAnsi="Palatino"/>
          <w:b w:val="1"/>
          <w:bCs w:val="1"/>
          <w:u w:val="single"/>
        </w:rPr>
      </w:pPr>
      <w:r w:rsidDel="00000000" w:rsidR="00000000" w:rsidRPr="00000000">
        <w:rPr>
          <w:rtl w:val="0"/>
        </w:rPr>
      </w:r>
    </w:p>
    <w:p w:rsidR="00000000" w:rsidDel="00000000" w:rsidP="00000000" w:rsidRDefault="00000000" w:rsidRPr="00000000" w14:paraId="0000000F">
      <w:pPr>
        <w:rPr>
          <w:rFonts w:ascii="Palatino" w:cs="Palatino" w:eastAsia="Palatino" w:hAnsi="Palatino"/>
          <w:b w:val="1"/>
          <w:bCs w:val="1"/>
          <w:u w:val="single"/>
        </w:rPr>
      </w:pPr>
      <w:r w:rsidDel="00000000" w:rsidR="00000000" w:rsidRPr="00000000">
        <w:rPr>
          <w:rFonts w:ascii="Palatino" w:cs="Palatino" w:eastAsia="Palatino" w:hAnsi="Palatino"/>
          <w:b w:val="1"/>
          <w:bCs w:val="1"/>
          <w:u w:val="single"/>
          <w:rtl w:val="0"/>
        </w:rPr>
        <w:t xml:space="preserve">Abstract:</w:t>
      </w:r>
    </w:p>
    <w:p w:rsidR="00000000" w:rsidDel="00000000" w:rsidP="00000000" w:rsidRDefault="00000000" w:rsidRPr="00000000" w14:paraId="00000010">
      <w:pPr>
        <w:spacing w:line="360" w:lineRule="auto"/>
        <w:ind w:firstLine="720"/>
        <w:jc w:val="both"/>
        <w:rPr>
          <w:rFonts w:ascii="Palatino" w:cs="Palatino" w:eastAsia="Palatino" w:hAnsi="Palatino"/>
          <w:sz w:val="30"/>
          <w:szCs w:val="30"/>
        </w:rPr>
      </w:pPr>
      <w:r w:rsidDel="00000000" w:rsidR="00000000" w:rsidRPr="00000000">
        <w:rPr>
          <w:rFonts w:ascii="Palatino" w:cs="Palatino" w:eastAsia="Palatino" w:hAnsi="Palatino"/>
          <w:rtl w:val="0"/>
        </w:rPr>
        <w:t xml:space="preserve">Articular cartilage is a highly specialized tissue responsible for the friction-free movement of all articulating joints. Wear and tear, traumatic injury and disease processes such as osteoarthritis can result in damage and loss of this tissue causing pain and loss of function. The unique and complex composition and architecture of cartilage tissue significantly limits any self-regenerative capacity, further exacerbating the loss of tissue to a level where a total joint replacement is the only remaining option. Advances in device, device-biologic and device-drug combination products now offer alternatives to negate, or at a minimum, delay the need for a total joint replacement. Autologous chondrocyte implants derived from the patient’s own cartilage-forming cells represent a technology with a long history of success in treating a wide range of articular cartilage defects. The NOVOCART family of autologous chondrocyte products has been in commercial use in Germany for over 20 years and is currently in late-stage clinical development in the US.  This presentation will focus on some of the challenges faced in the translation of this technology class to full commercial scale.</w:t>
      </w:r>
      <w:r w:rsidDel="00000000" w:rsidR="00000000" w:rsidRPr="00000000">
        <w:rPr>
          <w:rtl w:val="0"/>
        </w:rPr>
      </w:r>
    </w:p>
    <w:p w:rsidR="00000000" w:rsidDel="00000000" w:rsidP="00000000" w:rsidRDefault="00000000" w:rsidRPr="00000000" w14:paraId="00000011">
      <w:pPr>
        <w:jc w:val="center"/>
        <w:rPr>
          <w:rFonts w:ascii="Palatino" w:cs="Palatino" w:eastAsia="Palatino" w:hAnsi="Palatino"/>
          <w:sz w:val="30"/>
          <w:szCs w:val="30"/>
        </w:rPr>
      </w:pPr>
      <w:r w:rsidDel="00000000" w:rsidR="00000000" w:rsidRPr="00000000">
        <w:rPr>
          <w:rtl w:val="0"/>
        </w:rPr>
      </w:r>
    </w:p>
    <w:p w:rsidR="00000000" w:rsidDel="00000000" w:rsidP="00000000" w:rsidRDefault="00000000" w:rsidRPr="00000000" w14:paraId="00000012">
      <w:pPr>
        <w:rPr>
          <w:rFonts w:ascii="Palatino" w:cs="Palatino" w:eastAsia="Palatino" w:hAnsi="Palatino"/>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13">
      <w:pPr>
        <w:rPr>
          <w:rFonts w:ascii="Palatino" w:cs="Palatino" w:eastAsia="Palatino" w:hAnsi="Palatino"/>
          <w:sz w:val="30"/>
          <w:szCs w:val="30"/>
        </w:rPr>
      </w:pPr>
      <w:r w:rsidDel="00000000" w:rsidR="00000000" w:rsidRPr="00000000">
        <w:rPr>
          <w:rtl w:val="0"/>
        </w:rPr>
      </w:r>
    </w:p>
    <w:p w:rsidR="00000000" w:rsidDel="00000000" w:rsidP="00000000" w:rsidRDefault="00000000" w:rsidRPr="00000000" w14:paraId="00000014">
      <w:pPr>
        <w:jc w:val="center"/>
        <w:rPr>
          <w:rFonts w:ascii="Palatino" w:cs="Palatino" w:eastAsia="Palatino" w:hAnsi="Palatino"/>
          <w:sz w:val="30"/>
          <w:szCs w:val="30"/>
        </w:rPr>
      </w:pPr>
      <w:r w:rsidDel="00000000" w:rsidR="00000000" w:rsidRPr="00000000">
        <w:rPr>
          <w:rFonts w:ascii="Palatino" w:cs="Palatino" w:eastAsia="Palatino" w:hAnsi="Palatino"/>
          <w:sz w:val="30"/>
          <w:szCs w:val="30"/>
          <w:rtl w:val="0"/>
        </w:rPr>
        <w:t xml:space="preserve">Lehigh Bioengineering Seminar Series presents:</w:t>
      </w:r>
    </w:p>
    <w:p w:rsidR="00000000" w:rsidDel="00000000" w:rsidP="00000000" w:rsidRDefault="00000000" w:rsidRPr="00000000" w14:paraId="00000015">
      <w:pPr>
        <w:jc w:val="center"/>
        <w:rPr>
          <w:rFonts w:ascii="Palatino" w:cs="Palatino" w:eastAsia="Palatino" w:hAnsi="Palatino"/>
          <w:b w:val="1"/>
          <w:bCs w:val="1"/>
          <w:sz w:val="30"/>
          <w:szCs w:val="30"/>
        </w:rPr>
      </w:pPr>
      <w:r w:rsidDel="00000000" w:rsidR="00000000" w:rsidRPr="00000000">
        <w:rPr>
          <w:rtl w:val="0"/>
        </w:rPr>
      </w:r>
    </w:p>
    <w:p w:rsidR="00000000" w:rsidDel="00000000" w:rsidP="00000000" w:rsidRDefault="00000000" w:rsidRPr="00000000" w14:paraId="00000016">
      <w:pPr>
        <w:jc w:val="center"/>
        <w:rPr>
          <w:rFonts w:ascii="Palatino" w:cs="Palatino" w:eastAsia="Palatino" w:hAnsi="Palatino"/>
          <w:b w:val="1"/>
          <w:bCs w:val="1"/>
          <w:sz w:val="30"/>
          <w:szCs w:val="30"/>
        </w:rPr>
      </w:pPr>
      <w:r w:rsidDel="00000000" w:rsidR="00000000" w:rsidRPr="00000000">
        <w:rPr>
          <w:rFonts w:ascii="Palatino" w:cs="Palatino" w:eastAsia="Palatino" w:hAnsi="Palatino"/>
          <w:b w:val="1"/>
          <w:bCs w:val="1"/>
          <w:sz w:val="30"/>
          <w:szCs w:val="30"/>
          <w:rtl w:val="0"/>
        </w:rPr>
        <w:t xml:space="preserve">Dr. Robert C. Spiro, PhD</w:t>
      </w:r>
    </w:p>
    <w:p w:rsidR="00000000" w:rsidDel="00000000" w:rsidP="00000000" w:rsidRDefault="00000000" w:rsidRPr="00000000" w14:paraId="00000017">
      <w:pPr>
        <w:jc w:val="center"/>
        <w:rPr>
          <w:rFonts w:ascii="Palatino" w:cs="Palatino" w:eastAsia="Palatino" w:hAnsi="Palatino"/>
          <w:b w:val="1"/>
          <w:bCs w:val="1"/>
          <w:sz w:val="30"/>
          <w:szCs w:val="30"/>
        </w:rPr>
      </w:pPr>
      <w:r w:rsidDel="00000000" w:rsidR="00000000" w:rsidRPr="00000000">
        <w:rPr>
          <w:rtl w:val="0"/>
        </w:rPr>
      </w:r>
    </w:p>
    <w:p w:rsidR="00000000" w:rsidDel="00000000" w:rsidP="00000000" w:rsidRDefault="00000000" w:rsidRPr="00000000" w14:paraId="00000018">
      <w:pPr>
        <w:jc w:val="center"/>
        <w:rPr>
          <w:rFonts w:ascii="Palatino" w:cs="Palatino" w:eastAsia="Palatino" w:hAnsi="Palatino"/>
          <w:b w:val="1"/>
          <w:bCs w:val="1"/>
          <w:sz w:val="30"/>
          <w:szCs w:val="30"/>
        </w:rPr>
      </w:pPr>
      <w:r w:rsidDel="00000000" w:rsidR="00000000" w:rsidRPr="00000000">
        <w:rPr>
          <w:rFonts w:ascii="Palatino" w:cs="Palatino" w:eastAsia="Palatino" w:hAnsi="Palatino"/>
          <w:b w:val="1"/>
          <w:bCs w:val="1"/>
          <w:sz w:val="30"/>
          <w:szCs w:val="30"/>
          <w:rtl w:val="0"/>
        </w:rPr>
        <w:t xml:space="preserve">CEO, Octane Biotherapeutics, Inc./Tissue Engineering Technologies (TETEC)</w:t>
      </w:r>
    </w:p>
    <w:p w:rsidR="00000000" w:rsidDel="00000000" w:rsidP="00000000" w:rsidRDefault="00000000" w:rsidRPr="00000000" w14:paraId="00000019">
      <w:pPr>
        <w:jc w:val="center"/>
        <w:rPr>
          <w:rFonts w:ascii="Palatino" w:cs="Palatino" w:eastAsia="Palatino" w:hAnsi="Palatino"/>
          <w:i w:val="1"/>
          <w:iCs w:val="1"/>
          <w:sz w:val="30"/>
          <w:szCs w:val="30"/>
        </w:rPr>
      </w:pPr>
      <w:r w:rsidDel="00000000" w:rsidR="00000000" w:rsidRPr="00000000">
        <w:rPr>
          <w:rtl w:val="0"/>
        </w:rPr>
      </w:r>
    </w:p>
    <w:p w:rsidR="00000000" w:rsidDel="00000000" w:rsidP="00000000" w:rsidRDefault="00000000" w:rsidRPr="00000000" w14:paraId="0000001A">
      <w:pPr>
        <w:jc w:val="center"/>
        <w:rPr>
          <w:rFonts w:ascii="Palatino" w:cs="Palatino" w:eastAsia="Palatino" w:hAnsi="Palatino"/>
          <w:i w:val="1"/>
          <w:iCs w:val="1"/>
          <w:sz w:val="30"/>
          <w:szCs w:val="30"/>
        </w:rPr>
      </w:pPr>
      <w:r w:rsidDel="00000000" w:rsidR="00000000" w:rsidRPr="00000000">
        <w:rPr>
          <w:rFonts w:ascii="Palatino" w:cs="Palatino" w:eastAsia="Palatino" w:hAnsi="Palatino"/>
          <w:i w:val="1"/>
          <w:iCs w:val="1"/>
          <w:sz w:val="30"/>
          <w:szCs w:val="30"/>
          <w:rtl w:val="0"/>
        </w:rPr>
        <w:t xml:space="preserve">“Cartilage Tissue Engineering: Commercial Scale Challenges”</w:t>
      </w:r>
    </w:p>
    <w:p w:rsidR="00000000" w:rsidDel="00000000" w:rsidP="00000000" w:rsidRDefault="00000000" w:rsidRPr="00000000" w14:paraId="0000001B">
      <w:pPr>
        <w:jc w:val="center"/>
        <w:rPr>
          <w:rFonts w:ascii="Palatino" w:cs="Palatino" w:eastAsia="Palatino" w:hAnsi="Palatino"/>
          <w:i w:val="1"/>
          <w:iCs w:val="1"/>
          <w:sz w:val="30"/>
          <w:szCs w:val="30"/>
        </w:rPr>
      </w:pPr>
      <w:r w:rsidDel="00000000" w:rsidR="00000000" w:rsidRPr="00000000">
        <w:rPr>
          <w:rtl w:val="0"/>
        </w:rPr>
      </w:r>
    </w:p>
    <w:p w:rsidR="00000000" w:rsidDel="00000000" w:rsidP="00000000" w:rsidRDefault="00000000" w:rsidRPr="00000000" w14:paraId="0000001C">
      <w:pPr>
        <w:spacing w:line="360" w:lineRule="auto"/>
        <w:rPr>
          <w:rFonts w:ascii="Palatino" w:cs="Palatino" w:eastAsia="Palatino" w:hAnsi="Palatino"/>
          <w:b w:val="1"/>
          <w:bCs w:val="1"/>
          <w:u w:val="single"/>
        </w:rPr>
      </w:pPr>
      <w:r w:rsidDel="00000000" w:rsidR="00000000" w:rsidRPr="00000000">
        <w:rPr>
          <w:rFonts w:ascii="Palatino" w:cs="Palatino" w:eastAsia="Palatino" w:hAnsi="Palatino"/>
          <w:b w:val="1"/>
          <w:bCs w:val="1"/>
          <w:u w:val="single"/>
          <w:rtl w:val="0"/>
        </w:rPr>
        <w:t xml:space="preserve">Personal Bio:</w:t>
      </w:r>
    </w:p>
    <w:p w:rsidR="00000000" w:rsidDel="00000000" w:rsidP="00000000" w:rsidRDefault="00000000" w:rsidRPr="00000000" w14:paraId="0000001D">
      <w:pPr>
        <w:spacing w:line="360" w:lineRule="auto"/>
        <w:ind w:firstLine="720"/>
        <w:jc w:val="both"/>
        <w:rPr>
          <w:rFonts w:ascii="Palatino" w:cs="Palatino" w:eastAsia="Palatino" w:hAnsi="Palatino"/>
          <w:i w:val="1"/>
          <w:iCs w:val="1"/>
          <w:sz w:val="30"/>
          <w:szCs w:val="30"/>
        </w:rPr>
      </w:pPr>
      <w:r w:rsidDel="00000000" w:rsidR="00000000" w:rsidRPr="00000000">
        <w:rPr>
          <w:rFonts w:ascii="Palatino" w:cs="Palatino" w:eastAsia="Palatino" w:hAnsi="Palatino"/>
          <w:rtl w:val="0"/>
        </w:rPr>
        <w:t xml:space="preserve">Dr. Spiro received his BSc from McGill University, Montreal, Canada and a PhD in Immunology from the University of Massachusetts Medical School, Worcester, MA. His academic career included a Post-Doctoral fellowship and Assistant Professorship in the Department of Immunology at the Research Institute of Scripps Clinic, La Jolla, CA with research focused on cancer immunology and the extracellular matrix. His industry career spans several start-up companies including Telios Pharmaceuticals, Orquest Inc., Fibrogen Inc., ISTO Technologies, Carbylan Therapeutics, and Aesculap Biologics, LLC.  He has been involved in the design and development of cancer, fibrosis, wound healing, orthopedic and spine, drug, device and biologic-device combination products including the Healos® bone graft substitute, the DeNovo NT® Graft for cartilage repair, and the InQu® bone graft substitute. His work is documented in over 25 issued patents and over 50 peer reviewed publications. Dr. Spiro currently serves as the Chief Executive Officer at Octane Biotherapeutics, Inc. in Breinigsville, Pennsylvania and Tissue Engineering Technologies (TETEC) in Reutlingen, Germany, both members of the Octane Medical Group family of companies out of Kingston, Ontario, Canada. The global Octane Biotherapeutics/TETEC product and development portfolio incorporates over 25 years of experience in cartilage regenerative technology.</w:t>
      </w:r>
      <w:r w:rsidDel="00000000" w:rsidR="00000000" w:rsidRPr="00000000">
        <w:rPr>
          <w:rtl w:val="0"/>
        </w:rPr>
      </w:r>
    </w:p>
    <w:p w:rsidR="00000000" w:rsidDel="00000000" w:rsidP="00000000" w:rsidRDefault="00000000" w:rsidRPr="00000000" w14:paraId="0000001E">
      <w:pPr>
        <w:spacing w:line="360" w:lineRule="auto"/>
        <w:rPr>
          <w:rFonts w:ascii="Palatino" w:cs="Palatino" w:eastAsia="Palatino" w:hAnsi="Palatino"/>
          <w:b w:val="1"/>
          <w:bCs w:val="1"/>
          <w:u w:val="single"/>
        </w:rPr>
      </w:pPr>
      <w:r w:rsidDel="00000000" w:rsidR="00000000" w:rsidRPr="00000000">
        <w:rPr>
          <w:rtl w:val="0"/>
        </w:rPr>
      </w:r>
    </w:p>
    <w:p w:rsidR="00000000" w:rsidDel="00000000" w:rsidP="00000000" w:rsidRDefault="00000000" w:rsidRPr="00000000" w14:paraId="0000001F">
      <w:pPr>
        <w:spacing w:line="360" w:lineRule="auto"/>
        <w:ind w:firstLine="720"/>
        <w:rPr>
          <w:rFonts w:ascii="Palatino" w:cs="Palatino" w:eastAsia="Palatino" w:hAnsi="Palatino"/>
        </w:rPr>
      </w:pPr>
      <w:r w:rsidDel="00000000" w:rsidR="00000000" w:rsidRPr="00000000">
        <w:rPr>
          <w:rtl w:val="0"/>
        </w:rPr>
      </w:r>
    </w:p>
    <w:p w:rsidR="00000000" w:rsidDel="00000000" w:rsidP="00000000" w:rsidRDefault="00000000" w:rsidRPr="00000000" w14:paraId="00000020">
      <w:pPr>
        <w:spacing w:line="360" w:lineRule="auto"/>
        <w:ind w:left="0" w:firstLine="0"/>
        <w:rPr>
          <w:rFonts w:ascii="Palatino" w:cs="Palatino" w:eastAsia="Palatino" w:hAnsi="Palatino"/>
        </w:rPr>
      </w:pPr>
      <w:r w:rsidDel="00000000" w:rsidR="00000000" w:rsidRPr="00000000">
        <w:rPr>
          <w:rtl w:val="0"/>
        </w:rPr>
      </w:r>
    </w:p>
    <w:sectPr>
      <w:headerReference r:id="rId9" w:type="default"/>
      <w:footerReference r:id="rId10"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jc w:val="center"/>
      <w:rPr>
        <w:rFonts w:ascii="Palatino" w:cs="Palatino" w:eastAsia="Palatino" w:hAnsi="Palatino"/>
        <w:sz w:val="24"/>
        <w:szCs w:val="24"/>
      </w:rPr>
    </w:pPr>
    <w:r w:rsidDel="00000000" w:rsidR="00000000" w:rsidRPr="00000000">
      <w:rPr>
        <w:rFonts w:ascii="Palatino" w:cs="Palatino" w:eastAsia="Palatino" w:hAnsi="Palatino"/>
        <w:i w:val="1"/>
        <w:iCs w:val="1"/>
        <w:sz w:val="24"/>
        <w:szCs w:val="24"/>
        <w:rtl w:val="0"/>
      </w:rPr>
      <w:t xml:space="preserve">Please contact the Bioengineering Department (</w:t>
    </w:r>
    <w:hyperlink r:id="rId1">
      <w:r w:rsidDel="00000000" w:rsidR="00000000" w:rsidRPr="00000000">
        <w:rPr>
          <w:rFonts w:ascii="Palatino" w:cs="Palatino" w:eastAsia="Palatino" w:hAnsi="Palatino"/>
          <w:i w:val="1"/>
          <w:iCs w:val="1"/>
          <w:color w:val="1155cc"/>
          <w:sz w:val="24"/>
          <w:szCs w:val="24"/>
          <w:u w:val="single"/>
          <w:rtl w:val="0"/>
        </w:rPr>
        <w:t xml:space="preserve">inbioe@lehigh.edu</w:t>
      </w:r>
    </w:hyperlink>
    <w:r w:rsidDel="00000000" w:rsidR="00000000" w:rsidRPr="00000000">
      <w:rPr>
        <w:rFonts w:ascii="Palatino" w:cs="Palatino" w:eastAsia="Palatino" w:hAnsi="Palatino"/>
        <w:i w:val="1"/>
        <w:iCs w:val="1"/>
        <w:sz w:val="24"/>
        <w:szCs w:val="24"/>
        <w:rtl w:val="0"/>
      </w:rPr>
      <w:t xml:space="preserve">) with any questions or comments.</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widowControl w:val="0"/>
      <w:spacing w:before="72" w:lineRule="auto"/>
      <w:ind w:left="7488" w:firstLine="432.00000000000045"/>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Department of Bioengineering</w:t>
    </w:r>
    <w:r w:rsidDel="00000000" w:rsidR="00000000" w:rsidRPr="00000000">
      <w:drawing>
        <wp:anchor allowOverlap="1" behindDoc="1" distB="0" distT="0" distL="0" distR="0" hidden="0" layoutInCell="1" locked="0" relativeHeight="0" simplePos="0">
          <wp:simplePos x="0" y="0"/>
          <wp:positionH relativeFrom="column">
            <wp:posOffset>-44438</wp:posOffset>
          </wp:positionH>
          <wp:positionV relativeFrom="paragraph">
            <wp:posOffset>76201</wp:posOffset>
          </wp:positionV>
          <wp:extent cx="2938463" cy="637357"/>
          <wp:effectExtent b="0" l="0" r="0" t="0"/>
          <wp:wrapNone/>
          <wp:docPr id="1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938463" cy="637357"/>
                  </a:xfrm>
                  <a:prstGeom prst="rect"/>
                  <a:ln/>
                </pic:spPr>
              </pic:pic>
            </a:graphicData>
          </a:graphic>
        </wp:anchor>
      </w:drawing>
    </w:r>
  </w:p>
  <w:p w:rsidR="00000000" w:rsidDel="00000000" w:rsidP="00000000" w:rsidRDefault="00000000" w:rsidRPr="00000000" w14:paraId="00000022">
    <w:pPr>
      <w:widowControl w:val="0"/>
      <w:spacing w:before="8" w:lineRule="auto"/>
      <w:ind w:left="7488" w:firstLine="432.00000000000045"/>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Sinclair Lab</w:t>
    </w:r>
  </w:p>
  <w:p w:rsidR="00000000" w:rsidDel="00000000" w:rsidP="00000000" w:rsidRDefault="00000000" w:rsidRPr="00000000" w14:paraId="00000023">
    <w:pPr>
      <w:widowControl w:val="0"/>
      <w:spacing w:before="8" w:lineRule="auto"/>
      <w:ind w:left="7488" w:firstLine="432.00000000000045"/>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7 Asa Drive, Suite 205</w:t>
    </w:r>
  </w:p>
  <w:p w:rsidR="00000000" w:rsidDel="00000000" w:rsidP="00000000" w:rsidRDefault="00000000" w:rsidRPr="00000000" w14:paraId="00000024">
    <w:pPr>
      <w:widowControl w:val="0"/>
      <w:spacing w:before="8" w:lineRule="auto"/>
      <w:ind w:left="7488" w:firstLine="432.00000000000045"/>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Bethlehem, PA 18015 USA</w:t>
    </w:r>
  </w:p>
  <w:p w:rsidR="00000000" w:rsidDel="00000000" w:rsidP="00000000" w:rsidRDefault="00000000" w:rsidRPr="00000000" w14:paraId="00000025">
    <w:pPr>
      <w:widowControl w:val="0"/>
      <w:spacing w:before="7" w:lineRule="auto"/>
      <w:ind w:left="7488" w:firstLine="432.00000000000045"/>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Office: </w:t>
    </w:r>
    <w:r w:rsidDel="00000000" w:rsidR="00000000" w:rsidRPr="00000000">
      <w:rPr>
        <w:rFonts w:ascii="Times New Roman" w:cs="Times New Roman" w:eastAsia="Times New Roman" w:hAnsi="Times New Roman"/>
        <w:sz w:val="21"/>
        <w:szCs w:val="21"/>
        <w:rtl w:val="0"/>
      </w:rPr>
      <w:t xml:space="preserve">(610) 758-4091 </w:t>
    </w:r>
  </w:p>
  <w:p w:rsidR="00000000" w:rsidDel="00000000" w:rsidP="00000000" w:rsidRDefault="00000000" w:rsidRPr="00000000" w14:paraId="00000026">
    <w:pPr>
      <w:widowControl w:val="0"/>
      <w:spacing w:before="20" w:lineRule="auto"/>
      <w:ind w:left="7488" w:firstLine="432.00000000000045"/>
      <w:rPr/>
    </w:pPr>
    <w:r w:rsidDel="00000000" w:rsidR="00000000" w:rsidRPr="00000000">
      <w:rPr>
        <w:rFonts w:ascii="Times New Roman" w:cs="Times New Roman" w:eastAsia="Times New Roman" w:hAnsi="Times New Roman"/>
        <w:b w:val="1"/>
        <w:bCs w:val="1"/>
        <w:sz w:val="21"/>
        <w:szCs w:val="21"/>
        <w:rtl w:val="0"/>
      </w:rPr>
      <w:t xml:space="preserve">Web:</w:t>
    </w:r>
    <w:hyperlink r:id="rId2">
      <w:r w:rsidDel="00000000" w:rsidR="00000000" w:rsidRPr="00000000">
        <w:rPr>
          <w:rFonts w:ascii="Times New Roman" w:cs="Times New Roman" w:eastAsia="Times New Roman" w:hAnsi="Times New Roman"/>
          <w:color w:val="1155cc"/>
          <w:sz w:val="21"/>
          <w:szCs w:val="21"/>
          <w:u w:val="single"/>
          <w:rtl w:val="0"/>
        </w:rPr>
        <w:t xml:space="preserve">engineering.lehigh.edu/bioe</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CA2AB7"/>
    <w:pPr>
      <w:tabs>
        <w:tab w:val="center" w:pos="4680"/>
        <w:tab w:val="right" w:pos="9360"/>
      </w:tabs>
    </w:pPr>
  </w:style>
  <w:style w:type="character" w:styleId="HeaderChar" w:customStyle="1">
    <w:name w:val="Header Char"/>
    <w:basedOn w:val="DefaultParagraphFont"/>
    <w:link w:val="Header"/>
    <w:uiPriority w:val="99"/>
    <w:rsid w:val="00CA2AB7"/>
  </w:style>
  <w:style w:type="paragraph" w:styleId="Footer">
    <w:name w:val="footer"/>
    <w:basedOn w:val="Normal"/>
    <w:link w:val="FooterChar"/>
    <w:uiPriority w:val="99"/>
    <w:unhideWhenUsed w:val="1"/>
    <w:rsid w:val="00CA2AB7"/>
    <w:pPr>
      <w:tabs>
        <w:tab w:val="center" w:pos="4680"/>
        <w:tab w:val="right" w:pos="9360"/>
      </w:tabs>
    </w:pPr>
  </w:style>
  <w:style w:type="character" w:styleId="FooterChar" w:customStyle="1">
    <w:name w:val="Footer Char"/>
    <w:basedOn w:val="DefaultParagraphFont"/>
    <w:link w:val="Footer"/>
    <w:uiPriority w:val="99"/>
    <w:rsid w:val="00CA2AB7"/>
  </w:style>
  <w:style w:type="character" w:styleId="Hyperlink">
    <w:name w:val="Hyperlink"/>
    <w:basedOn w:val="DefaultParagraphFont"/>
    <w:uiPriority w:val="99"/>
    <w:unhideWhenUsed w:val="1"/>
    <w:rsid w:val="001C51E6"/>
    <w:rPr>
      <w:color w:val="0000ff" w:themeColor="hyperlink"/>
      <w:u w:val="single"/>
    </w:rPr>
  </w:style>
  <w:style w:type="character" w:styleId="UnresolvedMention">
    <w:name w:val="Unresolved Mention"/>
    <w:basedOn w:val="DefaultParagraphFont"/>
    <w:uiPriority w:val="99"/>
    <w:semiHidden w:val="1"/>
    <w:unhideWhenUsed w:val="1"/>
    <w:rsid w:val="001C51E6"/>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lehigh.zoom.us/j/9216636616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bioe@lehigh.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engineering.lehigh.edu/bio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RtJKJXXdz3rfnS0uoiRZg8DBYg==">CgMxLjA4AHIhMXBLTmxudFN5dzZJYnhMZGxNY1BaT2ptN2V1WGd2S2Ju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2026-03-09T14:22:00Z</dcterms:created>
  <dc:creator>Jay Lomax</dc:creator>
</cp:coreProperties>
</file>